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55A1B" w14:textId="4F1EC870" w:rsidR="00C62B89" w:rsidRPr="00374B65" w:rsidRDefault="00C62B89" w:rsidP="00C62B89">
      <w:pPr>
        <w:spacing w:after="0" w:line="240" w:lineRule="auto"/>
        <w:rPr>
          <w:rFonts w:ascii="Gill Sans MT" w:eastAsia="Calibri" w:hAnsi="Gill Sans MT" w:cs="Times New Roman"/>
          <w:b/>
          <w:sz w:val="20"/>
        </w:rPr>
      </w:pPr>
      <w:bookmarkStart w:id="0" w:name="_Hlk118201051"/>
      <w:r w:rsidRPr="00374B65">
        <w:rPr>
          <w:rFonts w:ascii="Gill Sans MT" w:eastAsia="Calibri" w:hAnsi="Gill Sans MT" w:cs="Times New Roman"/>
          <w:b/>
          <w:sz w:val="20"/>
        </w:rPr>
        <w:t>FOR IMMEDIATE RELEASE</w:t>
      </w:r>
    </w:p>
    <w:p w14:paraId="431E89C9" w14:textId="77777777" w:rsidR="00C62B89" w:rsidRPr="00374B65" w:rsidRDefault="00C62B89" w:rsidP="00C62B89">
      <w:pPr>
        <w:spacing w:after="0" w:line="240" w:lineRule="auto"/>
        <w:rPr>
          <w:rFonts w:ascii="Gill Sans MT" w:eastAsia="Calibri" w:hAnsi="Gill Sans MT" w:cs="Times New Roman"/>
          <w:b/>
          <w:sz w:val="20"/>
        </w:rPr>
      </w:pPr>
    </w:p>
    <w:p w14:paraId="50C6A670" w14:textId="3E78EE67" w:rsidR="00C62B89" w:rsidRDefault="00BC184E" w:rsidP="00BC184E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6"/>
        </w:rPr>
      </w:pPr>
      <w:bookmarkStart w:id="1" w:name="_Hlk149551813"/>
      <w:r>
        <w:rPr>
          <w:rFonts w:ascii="Gill Sans MT" w:eastAsia="Calibri" w:hAnsi="Gill Sans MT" w:cs="Times New Roman"/>
          <w:b/>
          <w:sz w:val="36"/>
        </w:rPr>
        <w:t xml:space="preserve">2025 </w:t>
      </w:r>
      <w:r w:rsidR="00C62B89">
        <w:rPr>
          <w:rFonts w:ascii="Gill Sans MT" w:eastAsia="Calibri" w:hAnsi="Gill Sans MT" w:cs="Times New Roman"/>
          <w:b/>
          <w:sz w:val="36"/>
        </w:rPr>
        <w:t>Grow for the Green Winners</w:t>
      </w:r>
      <w:r>
        <w:rPr>
          <w:rFonts w:ascii="Gill Sans MT" w:eastAsia="Calibri" w:hAnsi="Gill Sans MT" w:cs="Times New Roman"/>
          <w:b/>
          <w:sz w:val="36"/>
        </w:rPr>
        <w:t xml:space="preserve"> Announced</w:t>
      </w:r>
    </w:p>
    <w:p w14:paraId="6FEBEC54" w14:textId="2B52FC8D" w:rsidR="00C62B89" w:rsidRPr="00881F84" w:rsidRDefault="00C62B89" w:rsidP="00C62B89">
      <w:pPr>
        <w:spacing w:after="0" w:line="240" w:lineRule="auto"/>
        <w:jc w:val="center"/>
        <w:rPr>
          <w:rFonts w:ascii="Gill Sans MT" w:eastAsia="Calibri" w:hAnsi="Gill Sans MT" w:cs="Times New Roman"/>
          <w:b/>
        </w:rPr>
      </w:pPr>
    </w:p>
    <w:p w14:paraId="29AF7FDF" w14:textId="1A594C5F" w:rsidR="004D69CB" w:rsidRDefault="00BC7685" w:rsidP="00C62B89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36"/>
        </w:rPr>
      </w:pPr>
      <w:r>
        <w:rPr>
          <w:rFonts w:ascii="Gill Sans MT" w:eastAsia="Calibri" w:hAnsi="Gill Sans MT" w:cs="Times New Roman"/>
          <w:b/>
          <w:noProof/>
          <w:sz w:val="36"/>
        </w:rPr>
        <w:drawing>
          <wp:inline distT="0" distB="0" distL="0" distR="0" wp14:anchorId="6ED38FCE" wp14:editId="7E797658">
            <wp:extent cx="4419600" cy="2963871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FTG Winner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50293" cy="298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EBEEC" w14:textId="77777777" w:rsidR="004D69CB" w:rsidRPr="007747C3" w:rsidRDefault="004D69CB" w:rsidP="00BC7685">
      <w:pPr>
        <w:spacing w:after="0" w:line="240" w:lineRule="auto"/>
        <w:rPr>
          <w:rFonts w:ascii="Gill Sans MT" w:eastAsia="Calibri" w:hAnsi="Gill Sans MT" w:cs="Times New Roman"/>
          <w:b/>
        </w:rPr>
      </w:pPr>
    </w:p>
    <w:p w14:paraId="35A83F56" w14:textId="09534732" w:rsidR="004D69CB" w:rsidRPr="004D69CB" w:rsidRDefault="00BC7685" w:rsidP="007747C3">
      <w:pPr>
        <w:spacing w:after="0" w:line="240" w:lineRule="auto"/>
        <w:jc w:val="center"/>
        <w:rPr>
          <w:rFonts w:ascii="Gill Sans MT" w:eastAsia="Calibri" w:hAnsi="Gill Sans MT" w:cs="Times New Roman"/>
          <w:i/>
          <w:sz w:val="20"/>
        </w:rPr>
      </w:pPr>
      <w:r>
        <w:rPr>
          <w:rFonts w:ascii="Gill Sans MT" w:eastAsia="Calibri" w:hAnsi="Gill Sans MT" w:cs="Times New Roman"/>
          <w:i/>
          <w:sz w:val="20"/>
        </w:rPr>
        <w:t xml:space="preserve">The Arkansas Soybean Association announced the </w:t>
      </w:r>
      <w:r w:rsidR="004D69CB">
        <w:rPr>
          <w:rFonts w:ascii="Gill Sans MT" w:eastAsia="Calibri" w:hAnsi="Gill Sans MT" w:cs="Times New Roman"/>
          <w:i/>
          <w:sz w:val="20"/>
        </w:rPr>
        <w:t xml:space="preserve">Grow for the Green winners </w:t>
      </w:r>
      <w:r>
        <w:rPr>
          <w:rFonts w:ascii="Gill Sans MT" w:eastAsia="Calibri" w:hAnsi="Gill Sans MT" w:cs="Times New Roman"/>
          <w:i/>
          <w:sz w:val="20"/>
        </w:rPr>
        <w:t>at its</w:t>
      </w:r>
      <w:r w:rsidR="004D69CB">
        <w:rPr>
          <w:rFonts w:ascii="Gill Sans MT" w:eastAsia="Calibri" w:hAnsi="Gill Sans MT" w:cs="Times New Roman"/>
          <w:i/>
          <w:sz w:val="20"/>
        </w:rPr>
        <w:t xml:space="preserve"> </w:t>
      </w:r>
      <w:r>
        <w:rPr>
          <w:rFonts w:ascii="Gill Sans MT" w:eastAsia="Calibri" w:hAnsi="Gill Sans MT" w:cs="Times New Roman"/>
          <w:i/>
          <w:sz w:val="20"/>
        </w:rPr>
        <w:t>annual meeting</w:t>
      </w:r>
      <w:r w:rsidR="004D69CB">
        <w:rPr>
          <w:rFonts w:ascii="Gill Sans MT" w:eastAsia="Calibri" w:hAnsi="Gill Sans MT" w:cs="Times New Roman"/>
          <w:i/>
          <w:sz w:val="20"/>
        </w:rPr>
        <w:t>.</w:t>
      </w:r>
      <w:r w:rsidR="00336A6F">
        <w:rPr>
          <w:rFonts w:ascii="Gill Sans MT" w:eastAsia="Calibri" w:hAnsi="Gill Sans MT" w:cs="Times New Roman"/>
          <w:i/>
          <w:sz w:val="20"/>
        </w:rPr>
        <w:t xml:space="preserve"> </w:t>
      </w:r>
      <w:r w:rsidR="004918B6">
        <w:rPr>
          <w:rFonts w:ascii="Gill Sans MT" w:eastAsia="Calibri" w:hAnsi="Gill Sans MT" w:cs="Times New Roman"/>
          <w:i/>
          <w:sz w:val="20"/>
        </w:rPr>
        <w:t>Pictured</w:t>
      </w:r>
      <w:r w:rsidR="000B0063">
        <w:rPr>
          <w:rFonts w:ascii="Gill Sans MT" w:eastAsia="Calibri" w:hAnsi="Gill Sans MT" w:cs="Times New Roman"/>
          <w:i/>
          <w:sz w:val="20"/>
        </w:rPr>
        <w:t xml:space="preserve"> (L to R)</w:t>
      </w:r>
      <w:r w:rsidR="007E7F84">
        <w:rPr>
          <w:rFonts w:ascii="Gill Sans MT" w:eastAsia="Calibri" w:hAnsi="Gill Sans MT" w:cs="Times New Roman"/>
          <w:i/>
          <w:sz w:val="20"/>
        </w:rPr>
        <w:t>:</w:t>
      </w:r>
      <w:r w:rsidR="000B0063">
        <w:rPr>
          <w:rFonts w:ascii="Gill Sans MT" w:eastAsia="Calibri" w:hAnsi="Gill Sans MT" w:cs="Times New Roman"/>
          <w:i/>
          <w:sz w:val="20"/>
        </w:rPr>
        <w:t xml:space="preserve"> Scott Flannigan, Craighead</w:t>
      </w:r>
      <w:r w:rsidR="00684812">
        <w:rPr>
          <w:rFonts w:ascii="Gill Sans MT" w:eastAsia="Calibri" w:hAnsi="Gill Sans MT" w:cs="Times New Roman"/>
          <w:i/>
          <w:sz w:val="20"/>
        </w:rPr>
        <w:t>, Northeast, Third Place</w:t>
      </w:r>
      <w:r w:rsidR="000B0063">
        <w:rPr>
          <w:rFonts w:ascii="Gill Sans MT" w:eastAsia="Calibri" w:hAnsi="Gill Sans MT" w:cs="Times New Roman"/>
          <w:i/>
          <w:sz w:val="20"/>
        </w:rPr>
        <w:t>; Adam Fisher</w:t>
      </w:r>
      <w:r w:rsidR="00684812">
        <w:rPr>
          <w:rFonts w:ascii="Gill Sans MT" w:eastAsia="Calibri" w:hAnsi="Gill Sans MT" w:cs="Times New Roman"/>
          <w:i/>
          <w:sz w:val="20"/>
        </w:rPr>
        <w:t xml:space="preserve">, </w:t>
      </w:r>
      <w:r w:rsidR="000B0063">
        <w:rPr>
          <w:rFonts w:ascii="Gill Sans MT" w:eastAsia="Calibri" w:hAnsi="Gill Sans MT" w:cs="Times New Roman"/>
          <w:i/>
          <w:sz w:val="20"/>
        </w:rPr>
        <w:t>Cross County</w:t>
      </w:r>
      <w:r w:rsidR="00684812">
        <w:rPr>
          <w:rFonts w:ascii="Gill Sans MT" w:eastAsia="Calibri" w:hAnsi="Gill Sans MT" w:cs="Times New Roman"/>
          <w:i/>
          <w:sz w:val="20"/>
        </w:rPr>
        <w:t>, Northeast, Second place</w:t>
      </w:r>
      <w:r w:rsidR="000B0063">
        <w:rPr>
          <w:rFonts w:ascii="Gill Sans MT" w:eastAsia="Calibri" w:hAnsi="Gill Sans MT" w:cs="Times New Roman"/>
          <w:i/>
          <w:sz w:val="20"/>
        </w:rPr>
        <w:t>; Tim Fisher, Cross County</w:t>
      </w:r>
      <w:r w:rsidR="00684812">
        <w:rPr>
          <w:rFonts w:ascii="Gill Sans MT" w:eastAsia="Calibri" w:hAnsi="Gill Sans MT" w:cs="Times New Roman"/>
          <w:i/>
          <w:sz w:val="20"/>
        </w:rPr>
        <w:t>, Champions Group, First place</w:t>
      </w:r>
      <w:r w:rsidR="000B0063">
        <w:rPr>
          <w:rFonts w:ascii="Gill Sans MT" w:eastAsia="Calibri" w:hAnsi="Gill Sans MT" w:cs="Times New Roman"/>
          <w:i/>
          <w:sz w:val="20"/>
        </w:rPr>
        <w:t>; Brian Chastain, Phillips County</w:t>
      </w:r>
      <w:r w:rsidR="00684812">
        <w:rPr>
          <w:rFonts w:ascii="Gill Sans MT" w:eastAsia="Calibri" w:hAnsi="Gill Sans MT" w:cs="Times New Roman"/>
          <w:i/>
          <w:sz w:val="20"/>
        </w:rPr>
        <w:t>, East Central Delta, First Place</w:t>
      </w:r>
      <w:r w:rsidR="000B0063">
        <w:rPr>
          <w:rFonts w:ascii="Gill Sans MT" w:eastAsia="Calibri" w:hAnsi="Gill Sans MT" w:cs="Times New Roman"/>
          <w:i/>
          <w:sz w:val="20"/>
        </w:rPr>
        <w:t>;</w:t>
      </w:r>
      <w:r w:rsidR="007E7F84">
        <w:rPr>
          <w:rFonts w:ascii="Gill Sans MT" w:eastAsia="Calibri" w:hAnsi="Gill Sans MT" w:cs="Times New Roman"/>
          <w:i/>
          <w:sz w:val="20"/>
        </w:rPr>
        <w:t xml:space="preserve"> </w:t>
      </w:r>
      <w:r w:rsidR="000B0063">
        <w:rPr>
          <w:rFonts w:ascii="Gill Sans MT" w:eastAsia="Calibri" w:hAnsi="Gill Sans MT" w:cs="Times New Roman"/>
          <w:i/>
          <w:sz w:val="20"/>
        </w:rPr>
        <w:t>Kevin Goble, Mississippi County</w:t>
      </w:r>
      <w:r w:rsidR="00684812">
        <w:rPr>
          <w:rFonts w:ascii="Gill Sans MT" w:eastAsia="Calibri" w:hAnsi="Gill Sans MT" w:cs="Times New Roman"/>
          <w:i/>
          <w:sz w:val="20"/>
        </w:rPr>
        <w:t>, Northeast Delta, First Place</w:t>
      </w:r>
      <w:r w:rsidR="000B0063">
        <w:rPr>
          <w:rFonts w:ascii="Gill Sans MT" w:eastAsia="Calibri" w:hAnsi="Gill Sans MT" w:cs="Times New Roman"/>
          <w:i/>
          <w:sz w:val="20"/>
        </w:rPr>
        <w:t>; Blake Goodman, Clay County</w:t>
      </w:r>
      <w:r w:rsidR="00684812">
        <w:rPr>
          <w:rFonts w:ascii="Gill Sans MT" w:eastAsia="Calibri" w:hAnsi="Gill Sans MT" w:cs="Times New Roman"/>
          <w:i/>
          <w:sz w:val="20"/>
        </w:rPr>
        <w:t>, Northeast, First Place</w:t>
      </w:r>
      <w:r w:rsidR="000B0063">
        <w:rPr>
          <w:rFonts w:ascii="Gill Sans MT" w:eastAsia="Calibri" w:hAnsi="Gill Sans MT" w:cs="Times New Roman"/>
          <w:i/>
          <w:sz w:val="20"/>
        </w:rPr>
        <w:t>; Larry Ferguson, Clark County</w:t>
      </w:r>
      <w:r w:rsidR="00BC184E">
        <w:rPr>
          <w:rFonts w:ascii="Gill Sans MT" w:eastAsia="Calibri" w:hAnsi="Gill Sans MT" w:cs="Times New Roman"/>
          <w:i/>
          <w:sz w:val="20"/>
        </w:rPr>
        <w:t>, Western, First Place</w:t>
      </w:r>
      <w:r w:rsidR="000B0063">
        <w:rPr>
          <w:rFonts w:ascii="Gill Sans MT" w:eastAsia="Calibri" w:hAnsi="Gill Sans MT" w:cs="Times New Roman"/>
          <w:i/>
          <w:sz w:val="20"/>
        </w:rPr>
        <w:t xml:space="preserve">; </w:t>
      </w:r>
      <w:r w:rsidR="00336A6F">
        <w:rPr>
          <w:rFonts w:ascii="Gill Sans MT" w:eastAsia="Calibri" w:hAnsi="Gill Sans MT" w:cs="Times New Roman"/>
          <w:i/>
          <w:sz w:val="20"/>
        </w:rPr>
        <w:t>John Allen McGraw, Lincoln County</w:t>
      </w:r>
      <w:r w:rsidR="00BC184E">
        <w:rPr>
          <w:rFonts w:ascii="Gill Sans MT" w:eastAsia="Calibri" w:hAnsi="Gill Sans MT" w:cs="Times New Roman"/>
          <w:i/>
          <w:sz w:val="20"/>
        </w:rPr>
        <w:t>, Southeast Delta, Second Place</w:t>
      </w:r>
      <w:r w:rsidR="00336A6F">
        <w:rPr>
          <w:rFonts w:ascii="Gill Sans MT" w:eastAsia="Calibri" w:hAnsi="Gill Sans MT" w:cs="Times New Roman"/>
          <w:i/>
          <w:sz w:val="20"/>
        </w:rPr>
        <w:t>.</w:t>
      </w:r>
    </w:p>
    <w:p w14:paraId="1F3C29FC" w14:textId="77777777" w:rsidR="004D69CB" w:rsidRPr="00881F84" w:rsidRDefault="004D69CB" w:rsidP="00C62B89">
      <w:pPr>
        <w:spacing w:after="0" w:line="240" w:lineRule="auto"/>
        <w:jc w:val="center"/>
        <w:rPr>
          <w:rFonts w:ascii="Gill Sans MT" w:eastAsia="Calibri" w:hAnsi="Gill Sans MT" w:cs="Times New Roman"/>
          <w:b/>
          <w:sz w:val="20"/>
        </w:rPr>
      </w:pPr>
    </w:p>
    <w:p w14:paraId="48D643F5" w14:textId="7B29F541" w:rsidR="00C62B89" w:rsidRPr="006538D3" w:rsidRDefault="00906B0D" w:rsidP="00C62B89">
      <w:r>
        <w:rPr>
          <w:b/>
          <w:bCs/>
        </w:rPr>
        <w:t>BRINKLEY</w:t>
      </w:r>
      <w:r w:rsidR="00C62B89" w:rsidRPr="00ED7874">
        <w:rPr>
          <w:b/>
          <w:bCs/>
        </w:rPr>
        <w:t>, Ark.</w:t>
      </w:r>
      <w:r w:rsidR="0055649D">
        <w:rPr>
          <w:b/>
          <w:bCs/>
        </w:rPr>
        <w:t>,</w:t>
      </w:r>
      <w:r w:rsidR="00C62B89" w:rsidRPr="00ED7874">
        <w:rPr>
          <w:b/>
          <w:bCs/>
        </w:rPr>
        <w:t xml:space="preserve"> </w:t>
      </w:r>
      <w:r w:rsidR="00B566EF">
        <w:rPr>
          <w:bCs/>
        </w:rPr>
        <w:t xml:space="preserve">February </w:t>
      </w:r>
      <w:r w:rsidR="000211B2">
        <w:rPr>
          <w:bCs/>
        </w:rPr>
        <w:t>10</w:t>
      </w:r>
      <w:r w:rsidR="00C62B89" w:rsidRPr="00611E7F">
        <w:rPr>
          <w:bCs/>
        </w:rPr>
        <w:t>, 202</w:t>
      </w:r>
      <w:r w:rsidR="00B566EF">
        <w:rPr>
          <w:bCs/>
        </w:rPr>
        <w:t>6</w:t>
      </w:r>
      <w:r w:rsidR="00C62B89" w:rsidRPr="00ED7874">
        <w:t xml:space="preserve"> – </w:t>
      </w:r>
      <w:r w:rsidR="00BC184E">
        <w:t xml:space="preserve">The </w:t>
      </w:r>
      <w:r w:rsidR="00BC184E" w:rsidRPr="00906B0D">
        <w:rPr>
          <w:i/>
        </w:rPr>
        <w:t>2025</w:t>
      </w:r>
      <w:r w:rsidR="00BC184E">
        <w:t xml:space="preserve"> </w:t>
      </w:r>
      <w:r w:rsidR="00BC184E" w:rsidRPr="00906B0D">
        <w:rPr>
          <w:i/>
        </w:rPr>
        <w:t>Grow for the Green Soybean Yield Challenge</w:t>
      </w:r>
      <w:r w:rsidR="00BC184E">
        <w:t xml:space="preserve"> winners were announced at the </w:t>
      </w:r>
      <w:hyperlink r:id="rId8" w:history="1">
        <w:r w:rsidR="00C62B89" w:rsidRPr="00FD7049">
          <w:rPr>
            <w:rStyle w:val="Hyperlink"/>
            <w:bCs/>
          </w:rPr>
          <w:t>Arkansas Soybean Association (ASA)</w:t>
        </w:r>
      </w:hyperlink>
      <w:r w:rsidR="00BC184E">
        <w:rPr>
          <w:rStyle w:val="Hyperlink"/>
          <w:bCs/>
        </w:rPr>
        <w:t>’s</w:t>
      </w:r>
      <w:r w:rsidR="00C62B89" w:rsidRPr="006538D3">
        <w:t xml:space="preserve"> </w:t>
      </w:r>
      <w:r w:rsidR="00BC184E">
        <w:t>annual meeting on Monday, February 9</w:t>
      </w:r>
      <w:r>
        <w:t xml:space="preserve"> in Brinkley</w:t>
      </w:r>
      <w:r w:rsidR="00BC184E">
        <w:t>. E</w:t>
      </w:r>
      <w:r w:rsidR="00BC184E">
        <w:rPr>
          <w:bCs/>
        </w:rPr>
        <w:t>ight</w:t>
      </w:r>
      <w:r w:rsidR="00BC184E" w:rsidRPr="006538D3">
        <w:rPr>
          <w:bCs/>
        </w:rPr>
        <w:t xml:space="preserve"> soybean farmers</w:t>
      </w:r>
      <w:r w:rsidR="00BC184E" w:rsidRPr="006538D3">
        <w:t xml:space="preserve"> from across the state were honored as the top performers in their respective regions</w:t>
      </w:r>
      <w:r w:rsidR="00BC184E">
        <w:t xml:space="preserve">, in addition to two new producers reaching 100 bushels. Administered </w:t>
      </w:r>
      <w:r w:rsidR="00C62B89" w:rsidRPr="006538D3">
        <w:t xml:space="preserve">in partnership with the </w:t>
      </w:r>
      <w:hyperlink r:id="rId9" w:history="1">
        <w:r w:rsidR="00C62B89" w:rsidRPr="00FD7049">
          <w:rPr>
            <w:rStyle w:val="Hyperlink"/>
            <w:bCs/>
          </w:rPr>
          <w:t>Arkansas Soybean Promotion Board (ASPB)</w:t>
        </w:r>
      </w:hyperlink>
      <w:r w:rsidR="00C62B89" w:rsidRPr="006538D3">
        <w:t xml:space="preserve"> and the </w:t>
      </w:r>
      <w:hyperlink r:id="rId10" w:history="1">
        <w:r w:rsidR="00C62B89" w:rsidRPr="00FD7049">
          <w:rPr>
            <w:rStyle w:val="Hyperlink"/>
            <w:bCs/>
          </w:rPr>
          <w:t>University of Arkansas Extension Services (UAEX)</w:t>
        </w:r>
      </w:hyperlink>
      <w:r w:rsidR="00C62B89" w:rsidRPr="006538D3">
        <w:t xml:space="preserve">, </w:t>
      </w:r>
      <w:r w:rsidR="00BC184E">
        <w:t>the annual</w:t>
      </w:r>
      <w:r w:rsidR="00C62B89" w:rsidRPr="006538D3">
        <w:t xml:space="preserve"> contest strengthen</w:t>
      </w:r>
      <w:r w:rsidR="00BC184E">
        <w:t>s</w:t>
      </w:r>
      <w:r w:rsidR="00C62B89" w:rsidRPr="006538D3">
        <w:t xml:space="preserve"> Arkansas’ standing as a leading national producer. </w:t>
      </w:r>
    </w:p>
    <w:p w14:paraId="47D618C8" w14:textId="47C533E8" w:rsidR="00906B0D" w:rsidRDefault="00BD78A6" w:rsidP="00C62B89">
      <w:hyperlink r:id="rId11" w:history="1">
        <w:r w:rsidRPr="00DE27D9">
          <w:rPr>
            <w:rStyle w:val="Hyperlink"/>
          </w:rPr>
          <w:t>In 2025</w:t>
        </w:r>
      </w:hyperlink>
      <w:r>
        <w:t xml:space="preserve">, soybeans were the second most grown </w:t>
      </w:r>
      <w:r w:rsidR="00FD7507">
        <w:t xml:space="preserve">row </w:t>
      </w:r>
      <w:r>
        <w:t>crop in Arkansas, generating $2.3 billion in cash farm receipts</w:t>
      </w:r>
      <w:r w:rsidR="00C62B89" w:rsidRPr="006538D3">
        <w:t xml:space="preserve">. </w:t>
      </w:r>
      <w:r>
        <w:t>Arkansas producers harvested</w:t>
      </w:r>
      <w:r w:rsidR="007752B7">
        <w:t xml:space="preserve"> on average</w:t>
      </w:r>
      <w:r>
        <w:t xml:space="preserve"> 5</w:t>
      </w:r>
      <w:r w:rsidR="00FA24B7">
        <w:t>5</w:t>
      </w:r>
      <w:r>
        <w:t xml:space="preserve"> bushels per acre </w:t>
      </w:r>
      <w:r w:rsidR="00C76E0E">
        <w:t>despite</w:t>
      </w:r>
      <w:r>
        <w:t xml:space="preserve"> multiple challenges, including flooding </w:t>
      </w:r>
      <w:r w:rsidR="009D0EA6">
        <w:t>and unseasonably warm weather.</w:t>
      </w:r>
    </w:p>
    <w:p w14:paraId="3437D579" w14:textId="303361E3" w:rsidR="00906B0D" w:rsidRDefault="00906B0D" w:rsidP="00C62B89">
      <w:r w:rsidRPr="006538D3">
        <w:t>“</w:t>
      </w:r>
      <w:r>
        <w:t>Soybeans continue to be one of Arkansas’ most vital row crops,”</w:t>
      </w:r>
      <w:r w:rsidRPr="006538D3">
        <w:t xml:space="preserve"> said </w:t>
      </w:r>
      <w:hyperlink r:id="rId12" w:history="1">
        <w:r w:rsidRPr="001A3A2E">
          <w:rPr>
            <w:rStyle w:val="Hyperlink"/>
            <w:bCs/>
          </w:rPr>
          <w:t>Brad Doyle</w:t>
        </w:r>
      </w:hyperlink>
      <w:r w:rsidRPr="006538D3">
        <w:t xml:space="preserve">, Chairman of the Arkansas Soybean Promotion Board and </w:t>
      </w:r>
      <w:r>
        <w:t>Poinsett</w:t>
      </w:r>
      <w:r w:rsidRPr="006538D3">
        <w:t xml:space="preserve"> County farmer. “</w:t>
      </w:r>
      <w:r>
        <w:t xml:space="preserve">That is due to the hard work and </w:t>
      </w:r>
      <w:r>
        <w:lastRenderedPageBreak/>
        <w:t>determination of soybean producers in this state. Grow for the Green gives us the opportunity to recognize and celebrate the best in the industry</w:t>
      </w:r>
      <w:r w:rsidRPr="006538D3">
        <w:t>.”</w:t>
      </w:r>
    </w:p>
    <w:p w14:paraId="5377B508" w14:textId="4D0F896F" w:rsidR="00C62B89" w:rsidRPr="006538D3" w:rsidRDefault="00C62B89" w:rsidP="00C62B89">
      <w:r w:rsidRPr="006538D3">
        <w:rPr>
          <w:bCs/>
        </w:rPr>
        <w:t xml:space="preserve">Grow for the Green </w:t>
      </w:r>
      <w:r w:rsidRPr="006538D3">
        <w:t>not only rewards the highest-yielding farmers but also encourages the use of innovative farming practices and gathers crucial data that drives continuous improvement in soybean production. The contest remains a powerful platform for recognizing the dedication and expertise of Arkansas’ soybean farmers, who are essential to advancing the state’s agricultural leadership.</w:t>
      </w:r>
      <w:r w:rsidR="00AF423D">
        <w:t xml:space="preserve"> </w:t>
      </w:r>
      <w:bookmarkStart w:id="2" w:name="_Hlk221607368"/>
      <w:r w:rsidR="00196873">
        <w:t>For each division, first place is awarded $7,500, second place $5,000 and third place $2,500. The Champion Division competes for one prize of $5,000.</w:t>
      </w:r>
      <w:bookmarkEnd w:id="2"/>
    </w:p>
    <w:p w14:paraId="3268C3A2" w14:textId="6B8222E4" w:rsidR="00C62B89" w:rsidRPr="006538D3" w:rsidRDefault="00C62B89" w:rsidP="00C62B89">
      <w:r w:rsidRPr="006538D3">
        <w:t xml:space="preserve">This year’s contest showcased exceptional results, with winners from </w:t>
      </w:r>
      <w:r w:rsidR="001D3E92">
        <w:rPr>
          <w:bCs/>
        </w:rPr>
        <w:t>seven</w:t>
      </w:r>
      <w:r w:rsidRPr="006538D3">
        <w:rPr>
          <w:bCs/>
        </w:rPr>
        <w:t xml:space="preserve"> regions</w:t>
      </w:r>
      <w:r w:rsidR="00E34335">
        <w:t>, one all-state conventional (non-GMO) and a champions category</w:t>
      </w:r>
      <w:r w:rsidRPr="006538D3">
        <w:t>, each honored for their remarkable yields and commitment to sustainable farming practices.</w:t>
      </w:r>
    </w:p>
    <w:p w14:paraId="7825DB84" w14:textId="77777777" w:rsidR="00C62B89" w:rsidRPr="00ED7874" w:rsidRDefault="00C62B89" w:rsidP="00C62B89">
      <w:pPr>
        <w:rPr>
          <w:b/>
          <w:bCs/>
        </w:rPr>
      </w:pPr>
      <w:r w:rsidRPr="00ED7874">
        <w:rPr>
          <w:b/>
          <w:bCs/>
        </w:rPr>
        <w:t>Regional Winners:</w:t>
      </w:r>
    </w:p>
    <w:p w14:paraId="5F634399" w14:textId="31533C6A" w:rsidR="00C62B89" w:rsidRPr="00ED7874" w:rsidRDefault="00C62B89" w:rsidP="00C62B89">
      <w:pPr>
        <w:numPr>
          <w:ilvl w:val="0"/>
          <w:numId w:val="1"/>
        </w:numPr>
      </w:pPr>
      <w:r w:rsidRPr="00ED7874">
        <w:rPr>
          <w:b/>
          <w:bCs/>
        </w:rPr>
        <w:t>Northeast Delta</w:t>
      </w:r>
      <w:r w:rsidRPr="00ED7874">
        <w:t xml:space="preserve">: </w:t>
      </w:r>
      <w:r>
        <w:t xml:space="preserve">Kevin </w:t>
      </w:r>
      <w:r w:rsidR="00E7061B">
        <w:t>Goble</w:t>
      </w:r>
      <w:r w:rsidR="00BC184E">
        <w:t xml:space="preserve"> (Mississippi County)</w:t>
      </w:r>
      <w:r w:rsidRPr="00ED7874">
        <w:t xml:space="preserve"> – </w:t>
      </w:r>
      <w:r w:rsidR="00E7061B">
        <w:t>93.607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7E252D1B" w14:textId="616EF8CD" w:rsidR="00C62B89" w:rsidRPr="00ED7874" w:rsidRDefault="00C62B89" w:rsidP="00C62B89">
      <w:pPr>
        <w:numPr>
          <w:ilvl w:val="0"/>
          <w:numId w:val="1"/>
        </w:numPr>
      </w:pPr>
      <w:r w:rsidRPr="00ED7874">
        <w:rPr>
          <w:b/>
          <w:bCs/>
        </w:rPr>
        <w:t>Northeast</w:t>
      </w:r>
      <w:r w:rsidRPr="00ED7874">
        <w:t xml:space="preserve">: </w:t>
      </w:r>
      <w:r w:rsidR="00E7061B">
        <w:t>Blake Goodman</w:t>
      </w:r>
      <w:r w:rsidRPr="00ED7874">
        <w:t xml:space="preserve"> </w:t>
      </w:r>
      <w:r w:rsidR="00BC184E">
        <w:t xml:space="preserve">(Clay County) </w:t>
      </w:r>
      <w:r w:rsidRPr="00ED7874">
        <w:t xml:space="preserve">– </w:t>
      </w:r>
      <w:r w:rsidR="00E7061B">
        <w:t>10</w:t>
      </w:r>
      <w:r w:rsidR="000B0063">
        <w:t>2</w:t>
      </w:r>
      <w:r w:rsidR="00E7061B">
        <w:t>.366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73404D8E" w14:textId="7E8BFE6A" w:rsidR="00C62B89" w:rsidRPr="00ED7874" w:rsidRDefault="00C62B89" w:rsidP="00C62B89">
      <w:pPr>
        <w:numPr>
          <w:ilvl w:val="0"/>
          <w:numId w:val="1"/>
        </w:numPr>
      </w:pPr>
      <w:r w:rsidRPr="00ED7874">
        <w:rPr>
          <w:b/>
          <w:bCs/>
        </w:rPr>
        <w:t>White River Basin</w:t>
      </w:r>
      <w:r w:rsidRPr="00ED7874">
        <w:t xml:space="preserve">: </w:t>
      </w:r>
      <w:r w:rsidR="00E7061B">
        <w:t>Bill Rushing</w:t>
      </w:r>
      <w:r>
        <w:t xml:space="preserve"> </w:t>
      </w:r>
      <w:r w:rsidR="00BC184E">
        <w:t xml:space="preserve">(Woodruff County) </w:t>
      </w:r>
      <w:r>
        <w:t xml:space="preserve">– </w:t>
      </w:r>
      <w:r w:rsidR="00E7061B">
        <w:t>88.999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04EC3E65" w14:textId="3051E417" w:rsidR="00C62B89" w:rsidRDefault="00C62B89" w:rsidP="00C62B89">
      <w:pPr>
        <w:numPr>
          <w:ilvl w:val="0"/>
          <w:numId w:val="1"/>
        </w:numPr>
      </w:pPr>
      <w:r w:rsidRPr="001421C5">
        <w:rPr>
          <w:b/>
          <w:bCs/>
        </w:rPr>
        <w:t>Central &amp; Grand Prairie</w:t>
      </w:r>
      <w:r w:rsidRPr="00ED7874">
        <w:t xml:space="preserve">: </w:t>
      </w:r>
      <w:r w:rsidR="00E7061B">
        <w:t>Tony Richards</w:t>
      </w:r>
      <w:r w:rsidR="00BC184E">
        <w:t xml:space="preserve"> (Prairie County)</w:t>
      </w:r>
      <w:r>
        <w:t xml:space="preserve"> – </w:t>
      </w:r>
      <w:r w:rsidR="00E7061B">
        <w:t>78.702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76225B44" w14:textId="00CBB361" w:rsidR="00C62B89" w:rsidRPr="00ED7874" w:rsidRDefault="00C62B89" w:rsidP="00C62B89">
      <w:pPr>
        <w:numPr>
          <w:ilvl w:val="0"/>
          <w:numId w:val="1"/>
        </w:numPr>
      </w:pPr>
      <w:r w:rsidRPr="001421C5">
        <w:rPr>
          <w:b/>
          <w:bCs/>
        </w:rPr>
        <w:t>East Central Delta</w:t>
      </w:r>
      <w:r w:rsidRPr="00ED7874">
        <w:t xml:space="preserve">: </w:t>
      </w:r>
      <w:r w:rsidR="003920D1">
        <w:t>Brian Chastain</w:t>
      </w:r>
      <w:r w:rsidR="00BC184E">
        <w:t xml:space="preserve"> (Phillips County)</w:t>
      </w:r>
      <w:r>
        <w:t xml:space="preserve"> – </w:t>
      </w:r>
      <w:r w:rsidR="003920D1">
        <w:t>92.853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1F1430D9" w14:textId="7601BB4E" w:rsidR="00C62B89" w:rsidRDefault="00C62B89" w:rsidP="00C62B89">
      <w:pPr>
        <w:numPr>
          <w:ilvl w:val="0"/>
          <w:numId w:val="1"/>
        </w:numPr>
      </w:pPr>
      <w:r w:rsidRPr="001421C5">
        <w:rPr>
          <w:b/>
          <w:bCs/>
        </w:rPr>
        <w:t>Southeast Delta</w:t>
      </w:r>
      <w:r w:rsidRPr="00ED7874">
        <w:t xml:space="preserve">: </w:t>
      </w:r>
      <w:r>
        <w:t xml:space="preserve">William Lane </w:t>
      </w:r>
      <w:r w:rsidR="00BC184E">
        <w:t xml:space="preserve">(Chicot County) </w:t>
      </w:r>
      <w:r>
        <w:t>– 8</w:t>
      </w:r>
      <w:r w:rsidR="003920D1">
        <w:t>7</w:t>
      </w:r>
      <w:r>
        <w:t>.</w:t>
      </w:r>
      <w:r w:rsidR="003920D1">
        <w:t>979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64A2B318" w14:textId="45767BFE" w:rsidR="00C62B89" w:rsidRPr="00ED7874" w:rsidRDefault="00C62B89" w:rsidP="00C62B89">
      <w:pPr>
        <w:numPr>
          <w:ilvl w:val="0"/>
          <w:numId w:val="1"/>
        </w:numPr>
      </w:pPr>
      <w:r w:rsidRPr="001421C5">
        <w:rPr>
          <w:b/>
          <w:bCs/>
        </w:rPr>
        <w:t>Western</w:t>
      </w:r>
      <w:r w:rsidRPr="00ED7874">
        <w:t xml:space="preserve">: </w:t>
      </w:r>
      <w:r w:rsidR="003920D1">
        <w:t>Larry Ferguson</w:t>
      </w:r>
      <w:r w:rsidRPr="00ED7874">
        <w:t xml:space="preserve"> </w:t>
      </w:r>
      <w:r w:rsidR="00BC184E">
        <w:t xml:space="preserve">(Clark County) </w:t>
      </w:r>
      <w:r w:rsidRPr="00ED7874">
        <w:t xml:space="preserve">– </w:t>
      </w:r>
      <w:r w:rsidR="003920D1">
        <w:t>89.175</w:t>
      </w:r>
      <w:r>
        <w:t xml:space="preserve"> </w:t>
      </w:r>
      <w:proofErr w:type="spellStart"/>
      <w:r>
        <w:t>bu</w:t>
      </w:r>
      <w:proofErr w:type="spellEnd"/>
      <w:r>
        <w:t>/ac</w:t>
      </w:r>
    </w:p>
    <w:p w14:paraId="1BB682BA" w14:textId="6B567B56" w:rsidR="00FA24B7" w:rsidRDefault="00FA24B7" w:rsidP="00C62B89">
      <w:pPr>
        <w:rPr>
          <w:b/>
          <w:bCs/>
        </w:rPr>
      </w:pPr>
      <w:r>
        <w:rPr>
          <w:b/>
          <w:bCs/>
        </w:rPr>
        <w:t>100 Bushel Club First-Time Achievers:</w:t>
      </w:r>
    </w:p>
    <w:p w14:paraId="6FC68E19" w14:textId="6F2C97AA" w:rsidR="00FA24B7" w:rsidRDefault="00FA24B7" w:rsidP="00FA24B7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Blake Goodman </w:t>
      </w:r>
      <w:r w:rsidR="00BC184E">
        <w:rPr>
          <w:bCs/>
        </w:rPr>
        <w:t xml:space="preserve">(Clay County) </w:t>
      </w:r>
      <w:r>
        <w:rPr>
          <w:bCs/>
        </w:rPr>
        <w:t xml:space="preserve">– 102.366 </w:t>
      </w:r>
      <w:proofErr w:type="spellStart"/>
      <w:r>
        <w:rPr>
          <w:bCs/>
        </w:rPr>
        <w:t>bu</w:t>
      </w:r>
      <w:proofErr w:type="spellEnd"/>
      <w:r>
        <w:rPr>
          <w:bCs/>
        </w:rPr>
        <w:t>/ac</w:t>
      </w:r>
    </w:p>
    <w:p w14:paraId="124061A9" w14:textId="6A4230A0" w:rsidR="00FA24B7" w:rsidRDefault="00FA24B7" w:rsidP="00FA24B7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Adam Fisher </w:t>
      </w:r>
      <w:r w:rsidR="00BC184E">
        <w:rPr>
          <w:bCs/>
        </w:rPr>
        <w:t xml:space="preserve">(Cross County) </w:t>
      </w:r>
      <w:r>
        <w:rPr>
          <w:bCs/>
        </w:rPr>
        <w:t xml:space="preserve">– 101.743 </w:t>
      </w:r>
      <w:proofErr w:type="spellStart"/>
      <w:r>
        <w:rPr>
          <w:bCs/>
        </w:rPr>
        <w:t>bu</w:t>
      </w:r>
      <w:proofErr w:type="spellEnd"/>
      <w:r>
        <w:rPr>
          <w:bCs/>
        </w:rPr>
        <w:t>/ac</w:t>
      </w:r>
    </w:p>
    <w:p w14:paraId="5ADA9403" w14:textId="0A507925" w:rsidR="00FA24B7" w:rsidRPr="00FA24B7" w:rsidRDefault="00FA24B7" w:rsidP="00FA24B7">
      <w:pPr>
        <w:pStyle w:val="ListParagraph"/>
        <w:numPr>
          <w:ilvl w:val="0"/>
          <w:numId w:val="5"/>
        </w:numPr>
        <w:rPr>
          <w:bCs/>
        </w:rPr>
      </w:pPr>
      <w:r>
        <w:rPr>
          <w:bCs/>
        </w:rPr>
        <w:t xml:space="preserve">Scott Flanigan </w:t>
      </w:r>
      <w:r w:rsidR="00BC184E">
        <w:rPr>
          <w:bCs/>
        </w:rPr>
        <w:t xml:space="preserve">(Craighead County) </w:t>
      </w:r>
      <w:r>
        <w:rPr>
          <w:bCs/>
        </w:rPr>
        <w:t xml:space="preserve">– 101.683 </w:t>
      </w:r>
      <w:proofErr w:type="spellStart"/>
      <w:r>
        <w:rPr>
          <w:bCs/>
        </w:rPr>
        <w:t>bu</w:t>
      </w:r>
      <w:proofErr w:type="spellEnd"/>
      <w:r>
        <w:rPr>
          <w:bCs/>
        </w:rPr>
        <w:t>/ac</w:t>
      </w:r>
    </w:p>
    <w:p w14:paraId="50BD9DBF" w14:textId="5679DA3F" w:rsidR="00C62B89" w:rsidRPr="00ED7874" w:rsidRDefault="00C62B89" w:rsidP="00C62B89">
      <w:pPr>
        <w:rPr>
          <w:b/>
          <w:bCs/>
        </w:rPr>
      </w:pPr>
      <w:r w:rsidRPr="00ED7874">
        <w:rPr>
          <w:b/>
          <w:bCs/>
        </w:rPr>
        <w:t>Conventional Division (Non-GMO):</w:t>
      </w:r>
    </w:p>
    <w:p w14:paraId="15599629" w14:textId="1BBC71EB" w:rsidR="00C62B89" w:rsidRPr="00ED7874" w:rsidRDefault="003920D1" w:rsidP="00C62B89">
      <w:pPr>
        <w:numPr>
          <w:ilvl w:val="0"/>
          <w:numId w:val="2"/>
        </w:numPr>
      </w:pPr>
      <w:r>
        <w:t>John Stephens</w:t>
      </w:r>
      <w:r w:rsidR="00C62B89" w:rsidRPr="00ED7874">
        <w:t xml:space="preserve"> </w:t>
      </w:r>
      <w:r w:rsidR="00BC184E">
        <w:t xml:space="preserve">(Cross County) </w:t>
      </w:r>
      <w:r w:rsidR="00C62B89" w:rsidRPr="00ED7874">
        <w:t xml:space="preserve">– </w:t>
      </w:r>
      <w:r>
        <w:t>71.017</w:t>
      </w:r>
      <w:r w:rsidR="00C62B89">
        <w:t xml:space="preserve"> </w:t>
      </w:r>
      <w:proofErr w:type="spellStart"/>
      <w:r w:rsidR="00C62B89">
        <w:t>bu</w:t>
      </w:r>
      <w:proofErr w:type="spellEnd"/>
      <w:r w:rsidR="00C62B89">
        <w:t>/ac</w:t>
      </w:r>
    </w:p>
    <w:p w14:paraId="301153DC" w14:textId="2085723B" w:rsidR="00FD7049" w:rsidRPr="00C93861" w:rsidRDefault="00FD7049" w:rsidP="00C93861">
      <w:pPr>
        <w:rPr>
          <w:b/>
        </w:rPr>
      </w:pPr>
      <w:r w:rsidRPr="00C93861">
        <w:rPr>
          <w:b/>
        </w:rPr>
        <w:t>Champions Group</w:t>
      </w:r>
    </w:p>
    <w:p w14:paraId="2FFFD843" w14:textId="7D17318E" w:rsidR="00FD7049" w:rsidRDefault="003920D1" w:rsidP="00FD7049">
      <w:pPr>
        <w:pStyle w:val="ListParagraph"/>
        <w:numPr>
          <w:ilvl w:val="0"/>
          <w:numId w:val="4"/>
        </w:numPr>
      </w:pPr>
      <w:r>
        <w:t>Tim Fisher</w:t>
      </w:r>
      <w:r w:rsidR="00FD7049">
        <w:t xml:space="preserve"> (</w:t>
      </w:r>
      <w:r>
        <w:t>Cross</w:t>
      </w:r>
      <w:r w:rsidR="00FD7049">
        <w:t xml:space="preserve"> County) – 1</w:t>
      </w:r>
      <w:r>
        <w:t>04.431</w:t>
      </w:r>
      <w:r w:rsidR="00FD7049">
        <w:t xml:space="preserve"> </w:t>
      </w:r>
      <w:proofErr w:type="spellStart"/>
      <w:r w:rsidR="00FD7049">
        <w:t>bu</w:t>
      </w:r>
      <w:proofErr w:type="spellEnd"/>
      <w:r w:rsidR="00FD7049">
        <w:t>/ac</w:t>
      </w:r>
    </w:p>
    <w:p w14:paraId="312181E6" w14:textId="1546742E" w:rsidR="00C62B89" w:rsidRPr="00003B6A" w:rsidRDefault="00906B0D" w:rsidP="00003B6A">
      <w:r w:rsidRPr="006538D3">
        <w:lastRenderedPageBreak/>
        <w:t>“</w:t>
      </w:r>
      <w:r>
        <w:t>Hardship isn’t new to Arkansas producers</w:t>
      </w:r>
      <w:r w:rsidRPr="006538D3">
        <w:t xml:space="preserve">,” said </w:t>
      </w:r>
      <w:r w:rsidRPr="00906B0D">
        <w:rPr>
          <w:bCs/>
        </w:rPr>
        <w:t>Derek Helms</w:t>
      </w:r>
      <w:r w:rsidRPr="006538D3">
        <w:t xml:space="preserve">, ASA </w:t>
      </w:r>
      <w:r>
        <w:t>President</w:t>
      </w:r>
      <w:r w:rsidRPr="006538D3">
        <w:t xml:space="preserve"> and Clark County farmer. “</w:t>
      </w:r>
      <w:r>
        <w:t>Grow for the Green honors their dedication while highlighting the continued impact soybeans have on the state’s economy. Even in challenging times, the crop remains an agricultural powerhouse.</w:t>
      </w:r>
      <w:r w:rsidRPr="006538D3">
        <w:t>”</w:t>
      </w:r>
    </w:p>
    <w:p w14:paraId="6D811A16" w14:textId="15556411" w:rsidR="00C62B89" w:rsidRPr="00FD7049" w:rsidRDefault="00C62B89" w:rsidP="00C62B89">
      <w:pPr>
        <w:spacing w:after="0" w:line="240" w:lineRule="auto"/>
        <w:rPr>
          <w:rFonts w:eastAsia="Calibri" w:cstheme="minorHAnsi"/>
          <w:bCs/>
          <w:color w:val="0070C0"/>
        </w:rPr>
      </w:pPr>
      <w:r w:rsidRPr="00FD7049">
        <w:rPr>
          <w:rFonts w:eastAsia="Calibri" w:cstheme="minorHAnsi"/>
          <w:bCs/>
        </w:rPr>
        <w:t>To</w:t>
      </w:r>
      <w:r w:rsidRPr="00FD7049">
        <w:rPr>
          <w:rFonts w:eastAsia="Calibri" w:cstheme="minorHAnsi"/>
          <w:bCs/>
          <w:spacing w:val="-2"/>
        </w:rPr>
        <w:t xml:space="preserve"> </w:t>
      </w:r>
      <w:r w:rsidRPr="00FD7049">
        <w:rPr>
          <w:rFonts w:eastAsia="Calibri" w:cstheme="minorHAnsi"/>
          <w:bCs/>
        </w:rPr>
        <w:t>learn</w:t>
      </w:r>
      <w:r w:rsidRPr="00FD7049">
        <w:rPr>
          <w:rFonts w:eastAsia="Calibri" w:cstheme="minorHAnsi"/>
          <w:bCs/>
          <w:spacing w:val="-3"/>
        </w:rPr>
        <w:t xml:space="preserve"> </w:t>
      </w:r>
      <w:r w:rsidRPr="00FD7049">
        <w:rPr>
          <w:rFonts w:eastAsia="Calibri" w:cstheme="minorHAnsi"/>
          <w:bCs/>
        </w:rPr>
        <w:t>more</w:t>
      </w:r>
      <w:r w:rsidRPr="00FD7049">
        <w:rPr>
          <w:rFonts w:eastAsia="Calibri" w:cstheme="minorHAnsi"/>
          <w:bCs/>
          <w:spacing w:val="-3"/>
        </w:rPr>
        <w:t xml:space="preserve"> </w:t>
      </w:r>
      <w:r w:rsidRPr="00FD7049">
        <w:rPr>
          <w:rFonts w:eastAsia="Calibri" w:cstheme="minorHAnsi"/>
          <w:bCs/>
        </w:rPr>
        <w:t>about</w:t>
      </w:r>
      <w:r w:rsidRPr="00FD7049">
        <w:rPr>
          <w:rFonts w:eastAsia="Calibri" w:cstheme="minorHAnsi"/>
          <w:bCs/>
          <w:spacing w:val="-3"/>
        </w:rPr>
        <w:t xml:space="preserve"> </w:t>
      </w:r>
      <w:r w:rsidRPr="00FD7049">
        <w:rPr>
          <w:rFonts w:eastAsia="Calibri" w:cstheme="minorHAnsi"/>
          <w:bCs/>
        </w:rPr>
        <w:t>the</w:t>
      </w:r>
      <w:r w:rsidRPr="00FD7049">
        <w:rPr>
          <w:rFonts w:eastAsia="Calibri" w:cstheme="minorHAnsi"/>
          <w:bCs/>
          <w:spacing w:val="-3"/>
        </w:rPr>
        <w:t xml:space="preserve"> </w:t>
      </w:r>
      <w:r w:rsidRPr="00FD7049">
        <w:rPr>
          <w:rFonts w:eastAsia="Calibri" w:cstheme="minorHAnsi"/>
          <w:bCs/>
        </w:rPr>
        <w:t xml:space="preserve">Grow for the Green yield challenge, visit </w:t>
      </w:r>
      <w:hyperlink r:id="rId13" w:history="1">
        <w:r w:rsidRPr="00A75E42">
          <w:rPr>
            <w:rStyle w:val="Hyperlink"/>
            <w:rFonts w:eastAsia="Calibri" w:cstheme="minorHAnsi"/>
            <w:bCs/>
          </w:rPr>
          <w:t>TheMiracleBean.com</w:t>
        </w:r>
      </w:hyperlink>
      <w:r w:rsidR="00A75E42" w:rsidRPr="00A75E42">
        <w:rPr>
          <w:rFonts w:eastAsia="Calibri" w:cstheme="minorHAnsi"/>
          <w:bCs/>
          <w:u w:color="2E74B5"/>
        </w:rPr>
        <w:t xml:space="preserve"> and</w:t>
      </w:r>
      <w:r w:rsidR="00A75E42">
        <w:rPr>
          <w:rFonts w:eastAsia="Calibri" w:cstheme="minorHAnsi"/>
          <w:bCs/>
          <w:color w:val="2E74B5"/>
          <w:u w:val="single" w:color="2E74B5"/>
        </w:rPr>
        <w:t xml:space="preserve"> </w:t>
      </w:r>
      <w:hyperlink r:id="rId14" w:history="1">
        <w:r w:rsidR="00A75E42">
          <w:rPr>
            <w:rStyle w:val="Hyperlink"/>
            <w:rFonts w:eastAsia="Calibri" w:cstheme="minorHAnsi"/>
            <w:bCs/>
          </w:rPr>
          <w:t>A</w:t>
        </w:r>
        <w:r w:rsidR="00A75E42" w:rsidRPr="00A75E42">
          <w:rPr>
            <w:rStyle w:val="Hyperlink"/>
            <w:rFonts w:eastAsia="Calibri" w:cstheme="minorHAnsi"/>
            <w:bCs/>
          </w:rPr>
          <w:t>rkansas</w:t>
        </w:r>
        <w:r w:rsidR="00A75E42">
          <w:rPr>
            <w:rStyle w:val="Hyperlink"/>
            <w:rFonts w:eastAsia="Calibri" w:cstheme="minorHAnsi"/>
            <w:bCs/>
          </w:rPr>
          <w:t>S</w:t>
        </w:r>
        <w:r w:rsidR="00A75E42" w:rsidRPr="00A75E42">
          <w:rPr>
            <w:rStyle w:val="Hyperlink"/>
            <w:rFonts w:eastAsia="Calibri" w:cstheme="minorHAnsi"/>
            <w:bCs/>
          </w:rPr>
          <w:t>oybean.com</w:t>
        </w:r>
      </w:hyperlink>
      <w:r w:rsidRPr="00A75E42">
        <w:rPr>
          <w:rFonts w:eastAsia="Calibri" w:cstheme="minorHAnsi"/>
          <w:bCs/>
          <w:u w:color="0000FF"/>
        </w:rPr>
        <w:t>.</w:t>
      </w:r>
      <w:r w:rsidRPr="00A75E42">
        <w:rPr>
          <w:rFonts w:eastAsia="Calibri" w:cstheme="minorHAnsi"/>
          <w:bCs/>
        </w:rPr>
        <w:t xml:space="preserve"> </w:t>
      </w:r>
    </w:p>
    <w:p w14:paraId="0CD2AD6A" w14:textId="77777777" w:rsidR="00C62B89" w:rsidRPr="00FD7049" w:rsidRDefault="00C62B89" w:rsidP="00C62B89">
      <w:pPr>
        <w:spacing w:after="0" w:line="240" w:lineRule="auto"/>
        <w:jc w:val="center"/>
        <w:rPr>
          <w:rFonts w:eastAsia="Calibri" w:cstheme="minorHAnsi"/>
          <w:color w:val="403F41"/>
          <w:sz w:val="18"/>
        </w:rPr>
      </w:pPr>
    </w:p>
    <w:p w14:paraId="095372E2" w14:textId="77777777" w:rsidR="00C62B89" w:rsidRPr="00FD7049" w:rsidRDefault="00C62B89" w:rsidP="00C62B89">
      <w:pPr>
        <w:spacing w:after="0" w:line="240" w:lineRule="auto"/>
        <w:jc w:val="center"/>
        <w:rPr>
          <w:rFonts w:eastAsia="Calibri" w:cstheme="minorHAnsi"/>
        </w:rPr>
      </w:pPr>
      <w:r w:rsidRPr="00FD7049">
        <w:rPr>
          <w:rFonts w:eastAsia="Calibri" w:cstheme="minorHAnsi"/>
          <w:color w:val="403F41"/>
        </w:rPr>
        <w:t>###</w:t>
      </w:r>
    </w:p>
    <w:p w14:paraId="616B047E" w14:textId="77777777" w:rsidR="00C62B89" w:rsidRPr="00FD7049" w:rsidRDefault="00C62B89" w:rsidP="00C62B89">
      <w:pPr>
        <w:spacing w:after="0" w:line="240" w:lineRule="auto"/>
        <w:rPr>
          <w:rFonts w:eastAsia="Calibri" w:cstheme="minorHAnsi"/>
          <w:sz w:val="18"/>
        </w:rPr>
      </w:pPr>
    </w:p>
    <w:p w14:paraId="61983F0C" w14:textId="77777777" w:rsidR="00C62B89" w:rsidRPr="00FD7049" w:rsidRDefault="00C62B89" w:rsidP="00C62B89">
      <w:pPr>
        <w:spacing w:after="0" w:line="240" w:lineRule="auto"/>
        <w:rPr>
          <w:rFonts w:eastAsia="Calibri" w:cstheme="minorHAnsi"/>
          <w:b/>
          <w:sz w:val="20"/>
        </w:rPr>
      </w:pPr>
      <w:r w:rsidRPr="00FD7049">
        <w:rPr>
          <w:rFonts w:eastAsia="Calibri" w:cstheme="minorHAnsi"/>
          <w:b/>
          <w:sz w:val="20"/>
        </w:rPr>
        <w:t>About Arkansas Soybean Promotion Board</w:t>
      </w:r>
    </w:p>
    <w:p w14:paraId="28B79111" w14:textId="188AD998" w:rsidR="00C62B89" w:rsidRDefault="00C62B89" w:rsidP="00C62B89">
      <w:pPr>
        <w:spacing w:after="0" w:line="240" w:lineRule="auto"/>
        <w:rPr>
          <w:rFonts w:eastAsia="Calibri" w:cstheme="minorHAnsi"/>
          <w:color w:val="2E74B5"/>
          <w:sz w:val="20"/>
          <w:u w:val="single" w:color="2E74B5"/>
        </w:rPr>
      </w:pPr>
      <w:r w:rsidRPr="00FD7049">
        <w:rPr>
          <w:rFonts w:eastAsia="Calibri" w:cstheme="minorHAnsi"/>
          <w:sz w:val="20"/>
        </w:rPr>
        <w:t>The Arkansas Soybean Promotion Board is led by nine volunteer farmer-leaders appointed by the Governor. Soybeans are Arkansas's top row</w:t>
      </w:r>
      <w:r w:rsidRPr="00FD7049">
        <w:rPr>
          <w:rFonts w:eastAsia="Calibri" w:cstheme="minorHAnsi"/>
          <w:spacing w:val="1"/>
          <w:sz w:val="20"/>
        </w:rPr>
        <w:t xml:space="preserve"> </w:t>
      </w:r>
      <w:r w:rsidRPr="00FD7049">
        <w:rPr>
          <w:rFonts w:eastAsia="Calibri" w:cstheme="minorHAnsi"/>
          <w:sz w:val="20"/>
        </w:rPr>
        <w:t>crop with approximately 3 million acres planted each year, generating an annual economic impact of $2</w:t>
      </w:r>
      <w:r w:rsidRPr="00FD7049">
        <w:rPr>
          <w:rFonts w:eastAsia="Calibri" w:cstheme="minorHAnsi"/>
          <w:spacing w:val="1"/>
          <w:sz w:val="20"/>
        </w:rPr>
        <w:t xml:space="preserve"> </w:t>
      </w:r>
      <w:r w:rsidRPr="00FD7049">
        <w:rPr>
          <w:rFonts w:eastAsia="Calibri" w:cstheme="minorHAnsi"/>
          <w:sz w:val="20"/>
        </w:rPr>
        <w:t>billion.</w:t>
      </w:r>
      <w:r w:rsidRPr="00FD7049">
        <w:rPr>
          <w:rFonts w:eastAsia="Calibri" w:cstheme="minorHAnsi"/>
          <w:spacing w:val="-3"/>
          <w:sz w:val="20"/>
        </w:rPr>
        <w:t xml:space="preserve"> </w:t>
      </w:r>
      <w:r w:rsidRPr="00FD7049">
        <w:rPr>
          <w:rFonts w:eastAsia="Calibri" w:cstheme="minorHAnsi"/>
          <w:sz w:val="20"/>
        </w:rPr>
        <w:t>Arkansas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is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consistently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ranked</w:t>
      </w:r>
      <w:r w:rsidRPr="00FD7049">
        <w:rPr>
          <w:rFonts w:eastAsia="Calibri" w:cstheme="minorHAnsi"/>
          <w:spacing w:val="-3"/>
          <w:sz w:val="20"/>
        </w:rPr>
        <w:t xml:space="preserve"> </w:t>
      </w:r>
      <w:r w:rsidRPr="00FD7049">
        <w:rPr>
          <w:rFonts w:eastAsia="Calibri" w:cstheme="minorHAnsi"/>
          <w:sz w:val="20"/>
        </w:rPr>
        <w:t>among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the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top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ten</w:t>
      </w:r>
      <w:r w:rsidRPr="00FD7049">
        <w:rPr>
          <w:rFonts w:eastAsia="Calibri" w:cstheme="minorHAnsi"/>
          <w:spacing w:val="-3"/>
          <w:sz w:val="20"/>
        </w:rPr>
        <w:t xml:space="preserve"> </w:t>
      </w:r>
      <w:r w:rsidRPr="00FD7049">
        <w:rPr>
          <w:rFonts w:eastAsia="Calibri" w:cstheme="minorHAnsi"/>
          <w:sz w:val="20"/>
        </w:rPr>
        <w:t>soybean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producing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states</w:t>
      </w:r>
      <w:r w:rsidRPr="00FD7049">
        <w:rPr>
          <w:rFonts w:eastAsia="Calibri" w:cstheme="minorHAnsi"/>
          <w:spacing w:val="-2"/>
          <w:sz w:val="20"/>
        </w:rPr>
        <w:t xml:space="preserve"> </w:t>
      </w:r>
      <w:r w:rsidRPr="00FD7049">
        <w:rPr>
          <w:rFonts w:eastAsia="Calibri" w:cstheme="minorHAnsi"/>
          <w:sz w:val="20"/>
        </w:rPr>
        <w:t>nationally,</w:t>
      </w:r>
      <w:r w:rsidRPr="00FD7049">
        <w:rPr>
          <w:rFonts w:eastAsia="Calibri" w:cstheme="minorHAnsi"/>
          <w:spacing w:val="-3"/>
          <w:sz w:val="20"/>
        </w:rPr>
        <w:t xml:space="preserve"> </w:t>
      </w:r>
      <w:r w:rsidRPr="00FD7049">
        <w:rPr>
          <w:rFonts w:eastAsia="Calibri" w:cstheme="minorHAnsi"/>
          <w:sz w:val="20"/>
        </w:rPr>
        <w:t>exporting</w:t>
      </w:r>
      <w:r w:rsidRPr="00FD7049">
        <w:rPr>
          <w:rFonts w:eastAsia="Calibri" w:cstheme="minorHAnsi"/>
          <w:spacing w:val="-47"/>
          <w:sz w:val="20"/>
        </w:rPr>
        <w:t xml:space="preserve">   </w:t>
      </w:r>
      <w:r w:rsidRPr="00FD7049">
        <w:rPr>
          <w:rFonts w:eastAsia="Calibri" w:cstheme="minorHAnsi"/>
          <w:sz w:val="20"/>
        </w:rPr>
        <w:t xml:space="preserve"> 50% of its crop. ASPB invests more than $2.2 million in research each year as part of its commitment to</w:t>
      </w:r>
      <w:r w:rsidRPr="00FD7049">
        <w:rPr>
          <w:rFonts w:eastAsia="Calibri" w:cstheme="minorHAnsi"/>
          <w:spacing w:val="1"/>
          <w:sz w:val="20"/>
        </w:rPr>
        <w:t xml:space="preserve"> </w:t>
      </w:r>
      <w:r w:rsidRPr="00FD7049">
        <w:rPr>
          <w:rFonts w:eastAsia="Calibri" w:cstheme="minorHAnsi"/>
          <w:sz w:val="20"/>
        </w:rPr>
        <w:t>the continued sustainability of the Arkansas soybean industry. Learn more by visiting</w:t>
      </w:r>
      <w:r w:rsidRPr="00FD7049">
        <w:rPr>
          <w:rFonts w:eastAsia="Calibri" w:cstheme="minorHAnsi"/>
          <w:spacing w:val="1"/>
          <w:sz w:val="20"/>
        </w:rPr>
        <w:t xml:space="preserve"> </w:t>
      </w:r>
      <w:hyperlink r:id="rId15">
        <w:r w:rsidRPr="00FD7049">
          <w:rPr>
            <w:rFonts w:eastAsia="Calibri" w:cstheme="minorHAnsi"/>
            <w:color w:val="2E74B5"/>
            <w:sz w:val="20"/>
            <w:u w:val="single" w:color="2E74B5"/>
          </w:rPr>
          <w:t>TheMiracleBean.com</w:t>
        </w:r>
      </w:hyperlink>
      <w:r w:rsidRPr="00FD7049">
        <w:rPr>
          <w:rFonts w:eastAsia="Calibri" w:cstheme="minorHAnsi"/>
          <w:color w:val="2E74B5"/>
          <w:sz w:val="20"/>
          <w:u w:val="single" w:color="2E74B5"/>
        </w:rPr>
        <w:t>.</w:t>
      </w:r>
      <w:bookmarkEnd w:id="0"/>
      <w:bookmarkEnd w:id="1"/>
    </w:p>
    <w:p w14:paraId="21CA680C" w14:textId="6D06674D" w:rsidR="00210438" w:rsidRDefault="00210438" w:rsidP="00C62B89">
      <w:pPr>
        <w:spacing w:after="0" w:line="240" w:lineRule="auto"/>
        <w:rPr>
          <w:rFonts w:cstheme="minorHAnsi"/>
        </w:rPr>
      </w:pPr>
    </w:p>
    <w:p w14:paraId="29B5F819" w14:textId="256B1F9F" w:rsidR="00210438" w:rsidRPr="00210438" w:rsidRDefault="00210438" w:rsidP="00C62B89">
      <w:pPr>
        <w:spacing w:after="0" w:line="240" w:lineRule="auto"/>
        <w:rPr>
          <w:rFonts w:cstheme="minorHAnsi"/>
          <w:b/>
          <w:sz w:val="20"/>
        </w:rPr>
      </w:pPr>
      <w:r w:rsidRPr="00210438">
        <w:rPr>
          <w:rFonts w:cstheme="minorHAnsi"/>
          <w:b/>
          <w:sz w:val="20"/>
        </w:rPr>
        <w:t>About Arkansas Soybean Association</w:t>
      </w:r>
    </w:p>
    <w:p w14:paraId="25450D9F" w14:textId="5AAFAE3D" w:rsidR="00C86812" w:rsidRPr="00210438" w:rsidRDefault="00210438">
      <w:pPr>
        <w:rPr>
          <w:sz w:val="20"/>
        </w:rPr>
      </w:pPr>
      <w:r w:rsidRPr="00210438">
        <w:rPr>
          <w:sz w:val="20"/>
        </w:rPr>
        <w:t>Since 1964, the Arkansas Soybean Association has worked diligently to enhance the economic viability and social well-being of Arkansas soybean producers and their industry. The ASA is an affiliate of the American Soybean Association and is governed by a board of 30 volunteer farmer-leaders from across the state. Learn more about the Arkansas Soybean Association at www.arkansassoybean.com.</w:t>
      </w:r>
    </w:p>
    <w:sectPr w:rsidR="00C86812" w:rsidRPr="00210438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29638" w14:textId="77777777" w:rsidR="00AD353F" w:rsidRDefault="00AD353F">
      <w:pPr>
        <w:spacing w:after="0" w:line="240" w:lineRule="auto"/>
      </w:pPr>
      <w:r>
        <w:separator/>
      </w:r>
    </w:p>
  </w:endnote>
  <w:endnote w:type="continuationSeparator" w:id="0">
    <w:p w14:paraId="3764B0B2" w14:textId="77777777" w:rsidR="00AD353F" w:rsidRDefault="00AD35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22516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0EC7B83" w14:textId="7419E4D6" w:rsidR="00000000" w:rsidRDefault="00C62B8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rPr>
            <w:noProof/>
          </w:rPr>
          <w:t>/</w:t>
        </w:r>
        <w:r w:rsidR="00210438">
          <w:rPr>
            <w:noProof/>
          </w:rPr>
          <w:t>3</w:t>
        </w:r>
      </w:p>
    </w:sdtContent>
  </w:sdt>
  <w:p w14:paraId="1B4B257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7C9B8" w14:textId="77777777" w:rsidR="00AD353F" w:rsidRDefault="00AD353F">
      <w:pPr>
        <w:spacing w:after="0" w:line="240" w:lineRule="auto"/>
      </w:pPr>
      <w:r>
        <w:separator/>
      </w:r>
    </w:p>
  </w:footnote>
  <w:footnote w:type="continuationSeparator" w:id="0">
    <w:p w14:paraId="411C03A1" w14:textId="77777777" w:rsidR="00AD353F" w:rsidRDefault="00AD35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E52C5" w14:textId="6AA14A52" w:rsidR="00000000" w:rsidRDefault="00C62B89" w:rsidP="002E421D">
    <w:pPr>
      <w:pStyle w:val="Header"/>
      <w:jc w:val="right"/>
      <w:rPr>
        <w:b/>
        <w:sz w:val="20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EC8525D" wp14:editId="5C4880B8">
          <wp:simplePos x="0" y="0"/>
          <wp:positionH relativeFrom="margin">
            <wp:align>left</wp:align>
          </wp:positionH>
          <wp:positionV relativeFrom="paragraph">
            <wp:posOffset>-34542</wp:posOffset>
          </wp:positionV>
          <wp:extent cx="1945005" cy="6280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500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0"/>
      </w:rPr>
      <w:t>Media Contact</w:t>
    </w:r>
  </w:p>
  <w:p w14:paraId="1F5A1DF2" w14:textId="0DB048E3" w:rsidR="00000000" w:rsidRPr="002E421D" w:rsidRDefault="00C62B89" w:rsidP="002E421D">
    <w:pPr>
      <w:pStyle w:val="Header"/>
      <w:jc w:val="right"/>
      <w:rPr>
        <w:sz w:val="20"/>
      </w:rPr>
    </w:pPr>
    <w:r w:rsidRPr="002E421D">
      <w:rPr>
        <w:sz w:val="20"/>
      </w:rPr>
      <w:t>Carson Horn</w:t>
    </w:r>
    <w:r>
      <w:rPr>
        <w:sz w:val="20"/>
      </w:rPr>
      <w:t>, APR</w:t>
    </w:r>
  </w:p>
  <w:p w14:paraId="5F3B803D" w14:textId="77777777" w:rsidR="00000000" w:rsidRPr="002E421D" w:rsidRDefault="00C62B89" w:rsidP="002E421D">
    <w:pPr>
      <w:pStyle w:val="Header"/>
      <w:jc w:val="right"/>
      <w:rPr>
        <w:sz w:val="20"/>
      </w:rPr>
    </w:pPr>
    <w:hyperlink r:id="rId2" w:history="1">
      <w:r w:rsidRPr="002E421D">
        <w:rPr>
          <w:rStyle w:val="Hyperlink1"/>
          <w:sz w:val="20"/>
        </w:rPr>
        <w:t>chorn@comgroup.com</w:t>
      </w:r>
    </w:hyperlink>
  </w:p>
  <w:p w14:paraId="08B38E43" w14:textId="77777777" w:rsidR="00000000" w:rsidRDefault="00C62B89" w:rsidP="002E421D">
    <w:pPr>
      <w:pStyle w:val="Header"/>
      <w:jc w:val="right"/>
      <w:rPr>
        <w:sz w:val="20"/>
      </w:rPr>
    </w:pPr>
    <w:r w:rsidRPr="002E421D">
      <w:rPr>
        <w:sz w:val="20"/>
      </w:rPr>
      <w:t>501-515-0849</w:t>
    </w:r>
  </w:p>
  <w:p w14:paraId="6B655B9B" w14:textId="48AD09D3" w:rsidR="00000000" w:rsidRDefault="00BC184E" w:rsidP="00247711">
    <w:pPr>
      <w:pStyle w:val="Header"/>
      <w:rPr>
        <w:sz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DF20915" wp14:editId="5038387C">
          <wp:simplePos x="0" y="0"/>
          <wp:positionH relativeFrom="margin">
            <wp:align>left</wp:align>
          </wp:positionH>
          <wp:positionV relativeFrom="paragraph">
            <wp:posOffset>138430</wp:posOffset>
          </wp:positionV>
          <wp:extent cx="1520042" cy="609600"/>
          <wp:effectExtent l="0" t="0" r="4445" b="0"/>
          <wp:wrapTopAndBottom/>
          <wp:docPr id="2" name="Picture 2" descr="https://www.arkansassoybean.com/web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www.arkansassoybean.com/web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0042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A783D26" w14:textId="51977027" w:rsidR="00000000" w:rsidRPr="002E421D" w:rsidRDefault="00000000" w:rsidP="002E421D">
    <w:pPr>
      <w:pStyle w:val="Header"/>
      <w:jc w:val="righ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135F8"/>
    <w:multiLevelType w:val="multilevel"/>
    <w:tmpl w:val="32427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180FDD"/>
    <w:multiLevelType w:val="hybridMultilevel"/>
    <w:tmpl w:val="7F88F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9A31CB"/>
    <w:multiLevelType w:val="hybridMultilevel"/>
    <w:tmpl w:val="D8B88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4533F8"/>
    <w:multiLevelType w:val="hybridMultilevel"/>
    <w:tmpl w:val="C4D6D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F36E66"/>
    <w:multiLevelType w:val="multilevel"/>
    <w:tmpl w:val="1876D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77640332">
    <w:abstractNumId w:val="0"/>
  </w:num>
  <w:num w:numId="2" w16cid:durableId="844516937">
    <w:abstractNumId w:val="4"/>
  </w:num>
  <w:num w:numId="3" w16cid:durableId="924799230">
    <w:abstractNumId w:val="2"/>
  </w:num>
  <w:num w:numId="4" w16cid:durableId="806702916">
    <w:abstractNumId w:val="1"/>
  </w:num>
  <w:num w:numId="5" w16cid:durableId="9362495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B89"/>
    <w:rsid w:val="00003B6A"/>
    <w:rsid w:val="00005E21"/>
    <w:rsid w:val="000211B2"/>
    <w:rsid w:val="000A1D38"/>
    <w:rsid w:val="000B0063"/>
    <w:rsid w:val="000B3BAB"/>
    <w:rsid w:val="00134C9D"/>
    <w:rsid w:val="00196873"/>
    <w:rsid w:val="001A3A2E"/>
    <w:rsid w:val="001B4F63"/>
    <w:rsid w:val="001D1112"/>
    <w:rsid w:val="001D3E92"/>
    <w:rsid w:val="001F4E2C"/>
    <w:rsid w:val="00210438"/>
    <w:rsid w:val="00226B7C"/>
    <w:rsid w:val="00263EC1"/>
    <w:rsid w:val="00336A6F"/>
    <w:rsid w:val="003920D1"/>
    <w:rsid w:val="003B67F6"/>
    <w:rsid w:val="00433D51"/>
    <w:rsid w:val="00451AFB"/>
    <w:rsid w:val="00470122"/>
    <w:rsid w:val="004918B6"/>
    <w:rsid w:val="004A3C7A"/>
    <w:rsid w:val="004A4D33"/>
    <w:rsid w:val="004D69CB"/>
    <w:rsid w:val="00542222"/>
    <w:rsid w:val="0055649D"/>
    <w:rsid w:val="0056302A"/>
    <w:rsid w:val="00583053"/>
    <w:rsid w:val="00602EB4"/>
    <w:rsid w:val="00611E7F"/>
    <w:rsid w:val="00636426"/>
    <w:rsid w:val="00684812"/>
    <w:rsid w:val="006D5B73"/>
    <w:rsid w:val="00713272"/>
    <w:rsid w:val="00751966"/>
    <w:rsid w:val="007747C3"/>
    <w:rsid w:val="007752B7"/>
    <w:rsid w:val="0078574C"/>
    <w:rsid w:val="007B1132"/>
    <w:rsid w:val="007C58C2"/>
    <w:rsid w:val="007E7F84"/>
    <w:rsid w:val="00881F84"/>
    <w:rsid w:val="00906B0D"/>
    <w:rsid w:val="00930B1E"/>
    <w:rsid w:val="0097444F"/>
    <w:rsid w:val="0098238C"/>
    <w:rsid w:val="009A5394"/>
    <w:rsid w:val="009D0EA6"/>
    <w:rsid w:val="00A75E42"/>
    <w:rsid w:val="00AD353F"/>
    <w:rsid w:val="00AF423D"/>
    <w:rsid w:val="00B32074"/>
    <w:rsid w:val="00B43FBB"/>
    <w:rsid w:val="00B566EF"/>
    <w:rsid w:val="00BC184E"/>
    <w:rsid w:val="00BC7685"/>
    <w:rsid w:val="00BD78A6"/>
    <w:rsid w:val="00C62B89"/>
    <w:rsid w:val="00C76E0E"/>
    <w:rsid w:val="00C83182"/>
    <w:rsid w:val="00C86812"/>
    <w:rsid w:val="00C93861"/>
    <w:rsid w:val="00CA6E7F"/>
    <w:rsid w:val="00CD25FC"/>
    <w:rsid w:val="00CF549C"/>
    <w:rsid w:val="00DB261C"/>
    <w:rsid w:val="00DE27D9"/>
    <w:rsid w:val="00DE63F2"/>
    <w:rsid w:val="00E34335"/>
    <w:rsid w:val="00E7061B"/>
    <w:rsid w:val="00FA24B7"/>
    <w:rsid w:val="00FB07A1"/>
    <w:rsid w:val="00FD7049"/>
    <w:rsid w:val="00FD7507"/>
    <w:rsid w:val="00FE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7002CB"/>
  <w15:chartTrackingRefBased/>
  <w15:docId w15:val="{3FF284BA-71A8-4CC4-B49F-6675A551D9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2B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B89"/>
  </w:style>
  <w:style w:type="paragraph" w:styleId="Footer">
    <w:name w:val="footer"/>
    <w:basedOn w:val="Normal"/>
    <w:link w:val="FooterChar"/>
    <w:uiPriority w:val="99"/>
    <w:unhideWhenUsed/>
    <w:rsid w:val="00C62B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B89"/>
  </w:style>
  <w:style w:type="character" w:customStyle="1" w:styleId="Hyperlink1">
    <w:name w:val="Hyperlink1"/>
    <w:basedOn w:val="DefaultParagraphFont"/>
    <w:uiPriority w:val="99"/>
    <w:unhideWhenUsed/>
    <w:rsid w:val="00C62B89"/>
    <w:rPr>
      <w:color w:val="0563C1"/>
      <w:u w:val="single"/>
    </w:rPr>
  </w:style>
  <w:style w:type="character" w:styleId="Hyperlink">
    <w:name w:val="Hyperlink"/>
    <w:basedOn w:val="DefaultParagraphFont"/>
    <w:uiPriority w:val="99"/>
    <w:unhideWhenUsed/>
    <w:rsid w:val="00C62B8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62B8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64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4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4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4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4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70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049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D704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75E4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kansassoybean.com/" TargetMode="External"/><Relationship Id="rId13" Type="http://schemas.openxmlformats.org/officeDocument/2006/relationships/hyperlink" Target="https://www.themiraclebean.com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themiraclebean.com/brad-doyle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aex.uada.edu/media-resources/news/2025/december2025/12-22-2-25-ark-yearend-soybeans.aspx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themiraclebean.com/" TargetMode="External"/><Relationship Id="rId10" Type="http://schemas.openxmlformats.org/officeDocument/2006/relationships/hyperlink" Target="https://www.uaex.uada.edu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themiraclebean.com/" TargetMode="External"/><Relationship Id="rId14" Type="http://schemas.openxmlformats.org/officeDocument/2006/relationships/hyperlink" Target="https://www.arkansassoybean.com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hyperlink" Target="mailto:chorn@comgroup.co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785</Words>
  <Characters>4479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hphillips</dc:creator>
  <cp:keywords/>
  <dc:description/>
  <cp:lastModifiedBy>Dawn Howe</cp:lastModifiedBy>
  <cp:revision>2</cp:revision>
  <cp:lastPrinted>2026-02-10T19:24:00Z</cp:lastPrinted>
  <dcterms:created xsi:type="dcterms:W3CDTF">2026-02-12T17:12:00Z</dcterms:created>
  <dcterms:modified xsi:type="dcterms:W3CDTF">2026-02-12T17:12:00Z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2b1cc9ba-ec77-4a2a-827e-0ff347db08ee</vt:lpwstr>
  </property>
</Properties>
</file>